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 xml:space="preserve">ДК 021:2015 – 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uk-UA" w:eastAsia="zh-CN" w:bidi="ar-SA"/>
        </w:rPr>
        <w:t>77310000-6 Послуги з озеленення територій та утримання зелених насаджень (косіння та посів трави)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UA-2023-07-10-007651-a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1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500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6"/>
          <w:szCs w:val="26"/>
          <w:lang w:val="uk-UA" w:bidi="ar-SA"/>
        </w:rPr>
        <w:tab/>
      </w:r>
      <w:r>
        <w:rPr>
          <w:b/>
          <w:bCs/>
          <w:sz w:val="24"/>
          <w:szCs w:val="24"/>
          <w:lang w:val="uk-UA" w:bidi="ar-SA"/>
        </w:rPr>
        <w:t>Послуги надаються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 xml:space="preserve"> протягом року з врахування вимог замовника та у відповідності до технології догляду за зеленими насадженнями.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ab/>
        <w:t xml:space="preserve">Косіння трави  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zh-CN" w:bidi="ar-SA"/>
        </w:rPr>
        <w:t>25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>0,0 га, посів трави на площі - 0,2 га.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ab/>
        <w:t>При наданні послуг з косіння та посіву трави Виконавець повинен:</w:t>
      </w:r>
    </w:p>
    <w:p>
      <w:pPr>
        <w:pStyle w:val="Normal"/>
        <w:jc w:val="both"/>
        <w:rPr/>
      </w:pPr>
      <w:r>
        <w:rPr>
          <w:sz w:val="24"/>
          <w:szCs w:val="24"/>
          <w:lang w:val="uk-UA" w:bidi="ar-SA"/>
        </w:rPr>
        <w:tab/>
        <w:t xml:space="preserve">- </w:t>
      </w:r>
      <w:r>
        <w:rPr>
          <w:rFonts w:cs="Times New Roman"/>
          <w:sz w:val="24"/>
          <w:szCs w:val="24"/>
          <w:lang w:val="uk-UA" w:bidi="ar-SA"/>
        </w:rPr>
        <w:t xml:space="preserve">бути оснащений спеціалізованою технікою для </w:t>
      </w:r>
      <w:r>
        <w:rPr>
          <w:rFonts w:cs="Times New Roman"/>
          <w:b w:val="false"/>
          <w:bCs w:val="false"/>
          <w:iCs/>
          <w:sz w:val="24"/>
          <w:szCs w:val="24"/>
          <w:lang w:val="uk-UA" w:bidi="ar-SA"/>
        </w:rPr>
        <w:t>забезпечення якісного виконання в подальшому умов договору</w:t>
      </w:r>
      <w:r>
        <w:rPr>
          <w:rFonts w:cs="Times New Roman"/>
          <w:sz w:val="24"/>
          <w:szCs w:val="24"/>
          <w:lang w:val="uk-UA" w:bidi="ar-SA"/>
        </w:rPr>
        <w:t xml:space="preserve">; </w:t>
      </w:r>
    </w:p>
    <w:p>
      <w:pPr>
        <w:pStyle w:val="Normal"/>
        <w:jc w:val="both"/>
        <w:rPr>
          <w:rFonts w:cs="Times New Roman"/>
          <w:sz w:val="24"/>
          <w:szCs w:val="24"/>
          <w:lang w:val="uk-UA" w:bidi="ar-SA"/>
        </w:rPr>
      </w:pPr>
      <w:r>
        <w:rPr>
          <w:rFonts w:cs="Times New Roman"/>
          <w:sz w:val="24"/>
          <w:szCs w:val="24"/>
          <w:lang w:val="uk-UA" w:bidi="ar-SA"/>
        </w:rPr>
        <w:tab/>
        <w:t>- мати захисне обладнання;</w:t>
      </w:r>
    </w:p>
    <w:p>
      <w:pPr>
        <w:pStyle w:val="Normal"/>
        <w:jc w:val="both"/>
        <w:rPr>
          <w:rFonts w:cs="Times New Roman"/>
          <w:sz w:val="24"/>
          <w:szCs w:val="24"/>
          <w:lang w:val="uk-UA" w:bidi="ar-SA"/>
        </w:rPr>
      </w:pPr>
      <w:r>
        <w:rPr>
          <w:rFonts w:cs="Times New Roman"/>
          <w:sz w:val="24"/>
          <w:szCs w:val="24"/>
          <w:lang w:val="uk-UA" w:bidi="ar-SA"/>
        </w:rPr>
        <w:tab/>
        <w:t>- під час проведення робіт (надання послуг) огороджувати зони косіння трави сигнальними стрічками;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  <w:lang w:val="uk-UA" w:bidi="ar-SA"/>
        </w:rPr>
        <w:tab/>
        <w:t xml:space="preserve">- після скошування трави забезпечити утилізацію рослинних рештків (трави) шляхом їх збирання, прибирання та вивезення на  </w:t>
      </w: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ar-SA"/>
        </w:rPr>
        <w:t>Прилуцьке міське сміттєзвалище (перший кілометр автодороги Прилуки-Варва);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ar-SA"/>
        </w:rPr>
        <w:tab/>
        <w:t>-посів трави.</w:t>
      </w:r>
    </w:p>
    <w:p>
      <w:pPr>
        <w:pStyle w:val="Normal"/>
        <w:jc w:val="both"/>
        <w:rPr/>
      </w:pPr>
      <w:r>
        <w:rPr>
          <w:sz w:val="24"/>
          <w:szCs w:val="24"/>
          <w:lang w:val="uk-UA" w:bidi="ar-SA"/>
        </w:rPr>
        <w:tab/>
      </w:r>
      <w:r>
        <w:rPr>
          <w:sz w:val="24"/>
          <w:szCs w:val="24"/>
        </w:rPr>
        <w:t>Виконавець</w:t>
      </w:r>
      <w:r>
        <w:rPr>
          <w:rFonts w:eastAsia="Times New Roman" w:cs="Times New Roman"/>
          <w:color w:val="000000"/>
          <w:sz w:val="24"/>
          <w:szCs w:val="24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jc w:val="both"/>
        <w:rPr/>
      </w:pPr>
      <w:r>
        <w:rPr>
          <w:rFonts w:eastAsia="Times New Roman" w:cs="Times New Roman"/>
          <w:strike w:val="false"/>
          <w:dstrike w:val="false"/>
          <w:color w:val="000000"/>
          <w:sz w:val="24"/>
          <w:szCs w:val="24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/>
          <w:strike w:val="false"/>
          <w:dstrike w:val="false"/>
          <w:color w:val="000000"/>
          <w:sz w:val="24"/>
          <w:szCs w:val="24"/>
          <w:u w:val="none"/>
          <w:lang w:val="uk-UA"/>
        </w:rPr>
        <w:t>та природного середовища.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uk-UA" w:bidi="ar-SA"/>
        </w:rPr>
        <w:tab/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bidi="ar-SA"/>
        </w:rPr>
        <w:t>Персонал виконавця, який безпосередньо здійснює косіння трави, повинен мати дозвіл (сертифікат тощо) щодо проходження навчання по роботі з обладнанням, яке має двигуни внутрішньтого згорання.</w:t>
      </w:r>
    </w:p>
    <w:p>
      <w:pPr>
        <w:pStyle w:val="Normal"/>
        <w:ind w:left="0" w:right="0" w:firstLine="690"/>
        <w:jc w:val="center"/>
        <w:rPr>
          <w:rFonts w:cs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bCs/>
          <w:i w:val="false"/>
          <w:iCs w:val="false"/>
          <w:sz w:val="26"/>
          <w:szCs w:val="26"/>
        </w:rPr>
        <w:t>Примірний перелік об’єктів косіння: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1. вул.Київська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>(від в’їзду в місто Прилуки з боку міста Ніжин до виїзду з міста зі сторони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с. Манжосівка) </w:t>
        <w:tab/>
        <w:tab/>
        <w:tab/>
        <w:tab/>
        <w:tab/>
        <w:tab/>
        <w:tab/>
        <w:tab/>
        <w:tab/>
        <w:tab/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en-US" w:bidi="ar-SA"/>
        </w:rPr>
        <w:t xml:space="preserve">28,5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>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2.  вул.Козача (від вул. Київської до вул. 1 Травня) </w:t>
        <w:tab/>
        <w:tab/>
        <w:tab/>
        <w:tab/>
        <w:tab/>
        <w:t xml:space="preserve">– 0,47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3.  вул.Андріївська (від вул. І.Скоропадського до залізничного переїзду) </w:t>
        <w:tab/>
        <w:tab/>
        <w:t>– 0,48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4.  вул.Ветеранська (від вул. І.Скоропадського до вул. 1 Травня) </w:t>
        <w:tab/>
        <w:tab/>
        <w:tab/>
        <w:t>– 0,8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5.  вул.Іванівська </w:t>
        <w:tab/>
        <w:tab/>
        <w:tab/>
        <w:tab/>
        <w:tab/>
        <w:tab/>
        <w:tab/>
        <w:tab/>
        <w:tab/>
        <w:t>– 0,45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6  вул.Земська (від вул. І.Скоропадського до вул. 1 Травня) </w:t>
        <w:tab/>
        <w:tab/>
        <w:tab/>
        <w:tab/>
        <w:t xml:space="preserve">– 0,52 га;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7.  вул.Юрія Коптєва (від вул. Київська до до залізничного мосту) </w:t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8.  вул.Вокзальна (від вул. Київської до Привокзальної площі) </w:t>
        <w:tab/>
        <w:tab/>
        <w:tab/>
        <w:t>– 1,69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9.  вул.Садова (від вул. Гоголя до Привокзальної площі) </w:t>
        <w:tab/>
        <w:tab/>
        <w:tab/>
        <w:tab/>
        <w:t>– 1,52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10.вул.Гімназична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</w:r>
      <w:r>
        <w:rPr>
          <w:rFonts w:cs="Times New Roman"/>
          <w:color w:val="000000"/>
          <w:sz w:val="21"/>
          <w:szCs w:val="21"/>
          <w:shd w:fill="auto" w:val="clear"/>
        </w:rPr>
        <w:t xml:space="preserve">(від вул. Соборної до вул. 1 Травня, у т.ч. Центральне кладовище по вул.Гімназична) 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– 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10,52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11.вул.Котляревського (від вул. Боброва до вул. 1 Травня) </w:t>
        <w:tab/>
        <w:tab/>
        <w:tab/>
        <w:tab/>
        <w:t xml:space="preserve">– 2,9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12..вул.Пушкіна (від вул.Соборної до вул.Гвардіської) </w:t>
        <w:tab/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13.вул.Ярмаркова (від вул.Соборної до вул.Гвардіської) </w:t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14.вул.Михайлівська </w:t>
        <w:tab/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15.вул.Петропавлівська </w:t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16.вул.Перемоги (від вул. Промислової до вул. Берегової) </w:t>
        <w:tab/>
        <w:tab/>
        <w:tab/>
        <w:tab/>
        <w:t>– 1,1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17.вул.Соборна (від Історичної зони до вул. Ярмаркова) </w:t>
        <w:tab/>
        <w:tab/>
        <w:tab/>
        <w:tab/>
        <w:t>– 0,7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18.вул.І.Скоропадського </w:t>
        <w:tab/>
        <w:tab/>
        <w:tab/>
        <w:tab/>
        <w:tab/>
        <w:tab/>
        <w:tab/>
        <w:tab/>
        <w:t>– 0,95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19.вул.Незалежності (від вул. Київської до вул. Густинської) </w:t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20.вул.Сорочинська (в т.ч. дитячий майданчик та церква) </w:t>
        <w:tab/>
        <w:tab/>
        <w:tab/>
        <w:tab/>
        <w:t>– 0,8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21.вул.Боброва (від вул.Сорочинської до вул.Котляревського) </w:t>
        <w:tab/>
        <w:tab/>
        <w:tab/>
        <w:t>– 0,9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22.вул.Густинська </w:t>
        <w:tab/>
        <w:tab/>
        <w:tab/>
        <w:tab/>
        <w:tab/>
        <w:tab/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23.вул.1 Травня (від вул. Козачої до вул. Гвардійської) </w:t>
        <w:tab/>
        <w:tab/>
        <w:tab/>
        <w:tab/>
        <w:t>– 3,1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24.вул.Костянтинівська (від вул. Алгазіна до вул. Житня) </w:t>
        <w:tab/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3,1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25.вул.Миколаївська (від вул. Алгазіна до вул. Садової) </w:t>
        <w:tab/>
        <w:tab/>
        <w:tab/>
        <w:tab/>
        <w:t>– 1,25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26.вул.Пирятинська (від вул. 1 Травня до виїзду з міста) </w:t>
        <w:tab/>
        <w:tab/>
        <w:tab/>
        <w:tab/>
        <w:t>– 9,8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27.вул.Польова </w:t>
        <w:tab/>
        <w:tab/>
        <w:tab/>
        <w:tab/>
        <w:tab/>
        <w:tab/>
        <w:tab/>
        <w:tab/>
        <w:tab/>
        <w:t>– 1,1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28.вул.Гвардійська (від вул. 1 Травня до вул.Дружби Народів) </w:t>
        <w:tab/>
        <w:tab/>
        <w:tab/>
        <w:t>– 2,05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29.вул.Індустріальна </w:t>
        <w:tab/>
        <w:tab/>
        <w:tab/>
        <w:tab/>
        <w:tab/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30.вул.18 Вересня (від вул. О. Кошового до залізничної колії) </w:t>
        <w:tab/>
        <w:tab/>
        <w:tab/>
        <w:t>– 0,45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31.вул.О.Кошового (від вул.Левка Ревуцького до вул.Ракітна) </w:t>
        <w:tab/>
        <w:tab/>
        <w:tab/>
        <w:t>– 0,7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32.</w:t>
      </w:r>
      <w:r>
        <w:rPr>
          <w:color w:val="000000"/>
          <w:sz w:val="22"/>
          <w:szCs w:val="22"/>
          <w:shd w:fill="auto" w:val="clear"/>
        </w:rPr>
        <w:t xml:space="preserve">вул.Левка Ревуцького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33.</w:t>
      </w:r>
      <w:r>
        <w:rPr>
          <w:color w:val="000000"/>
          <w:sz w:val="22"/>
          <w:szCs w:val="22"/>
          <w:shd w:fill="auto" w:val="clear"/>
        </w:rPr>
        <w:t xml:space="preserve">вул.Саксаганського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0,6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34.</w:t>
      </w:r>
      <w:r>
        <w:rPr>
          <w:color w:val="000000"/>
          <w:sz w:val="22"/>
          <w:szCs w:val="22"/>
          <w:shd w:fill="auto" w:val="clear"/>
        </w:rPr>
        <w:t xml:space="preserve">вул.Гетьмана Сагайдачного </w:t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0,8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35.пров.Гетьмана Сагайдачного </w:t>
        <w:tab/>
        <w:tab/>
        <w:tab/>
        <w:tab/>
        <w:tab/>
        <w:tab/>
        <w:tab/>
        <w:t>– 0,4 га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36.вул.Рокитна </w:t>
        <w:tab/>
        <w:tab/>
        <w:tab/>
        <w:tab/>
        <w:tab/>
        <w:tab/>
        <w:tab/>
        <w:tab/>
        <w:tab/>
        <w:t>– 0,2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37.Історична зона </w:t>
        <w:tab/>
        <w:tab/>
        <w:tab/>
        <w:tab/>
        <w:tab/>
        <w:tab/>
        <w:tab/>
        <w:tab/>
        <w:tab/>
        <w:t>– 6,0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38.Сквер ім. Т.Г. Шевченка </w:t>
        <w:tab/>
        <w:tab/>
        <w:tab/>
        <w:tab/>
        <w:tab/>
        <w:tab/>
        <w:tab/>
        <w:tab/>
        <w:t>– 0,75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39.Меморіал-сквер “Вічної слави” </w:t>
        <w:tab/>
        <w:tab/>
        <w:tab/>
        <w:tab/>
        <w:tab/>
        <w:tab/>
        <w:tab/>
        <w:t>– 0,7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40.Біля пам’ятника Жертвам фашизму (біля ЗОШ № 6) </w:t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41.Братські могили (на кладовищах) </w:t>
        <w:tab/>
        <w:tab/>
        <w:tab/>
        <w:tab/>
        <w:tab/>
        <w:tab/>
        <w:tab/>
        <w:t>– 0,05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42.Пам’ятний знак “Воїнам визволителям” по вул.Пирятинській </w:t>
        <w:tab/>
        <w:tab/>
        <w:tab/>
        <w:t>– 0,4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43.Газони </w:t>
        <w:tab/>
        <w:tab/>
        <w:tab/>
        <w:tab/>
        <w:tab/>
        <w:tab/>
        <w:tab/>
        <w:tab/>
        <w:t xml:space="preserve"> </w:t>
        <w:tab/>
        <w:tab/>
        <w:t>– 0,65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44.Ліквідація карантинних бур’янів у місцях їх локалізації </w:t>
        <w:tab/>
        <w:tab/>
        <w:tab/>
        <w:tab/>
        <w:t>– 2,0 га.</w:t>
      </w:r>
    </w:p>
    <w:p>
      <w:pPr>
        <w:pStyle w:val="Normal"/>
        <w:jc w:val="both"/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r>
    </w:p>
    <w:p>
      <w:pPr>
        <w:pStyle w:val="Normal"/>
        <w:jc w:val="both"/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r>
    </w:p>
    <w:p>
      <w:pPr>
        <w:pStyle w:val="Normal"/>
        <w:spacing w:lineRule="exact" w:line="227"/>
        <w:jc w:val="both"/>
        <w:rPr/>
      </w:pPr>
      <w:r>
        <w:rPr>
          <w:rStyle w:val="32"/>
          <w:rFonts w:eastAsia="Times New Roman CYR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ab/>
      </w:r>
      <w:r>
        <w:rPr>
          <w:rStyle w:val="32"/>
          <w:rFonts w:eastAsia="Times New Roman CYR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uk-UA" w:eastAsia="zh-CN" w:bidi="ar-SA"/>
        </w:rPr>
        <w:t xml:space="preserve">В разі необхідності, Замовник має право додавати та коригувати перелік вулиць, які потребують косіння, їх черговість та об’єми в рамках суми договору. </w:t>
      </w:r>
    </w:p>
    <w:p>
      <w:pPr>
        <w:pStyle w:val="Normal"/>
        <w:spacing w:lineRule="exact" w:line="227"/>
        <w:ind w:left="0" w:right="0" w:firstLine="690"/>
        <w:jc w:val="both"/>
        <w:rPr>
          <w:rFonts w:eastAsia="Times New Roman CYR" w:cs="Times New Roman"/>
          <w:color w:val="000000"/>
          <w:sz w:val="24"/>
          <w:szCs w:val="24"/>
        </w:rPr>
      </w:pPr>
      <w:r>
        <w:rPr>
          <w:rFonts w:eastAsia="Times New Roman CYR" w:cs="Times New Roman"/>
          <w:color w:val="000000"/>
          <w:sz w:val="24"/>
          <w:szCs w:val="24"/>
        </w:rPr>
      </w:r>
    </w:p>
    <w:p>
      <w:pPr>
        <w:pStyle w:val="1"/>
        <w:ind w:left="0" w:righ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ind w:left="0" w:righ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Вартість пропозиції та всі інші ціни повинні бути чітко визначені.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3"/>
          <w:szCs w:val="23"/>
          <w:lang w:val="uk-UA"/>
        </w:rPr>
      </w:pPr>
      <w:r>
        <w:rPr>
          <w:rFonts w:eastAsia="Times New Roman" w:cs="Times New Roman"/>
          <w:sz w:val="23"/>
          <w:szCs w:val="23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uk-UA"/>
        </w:rPr>
        <w:tab/>
      </w:r>
      <w:r>
        <w:rPr>
          <w:color w:val="000000"/>
          <w:sz w:val="23"/>
          <w:szCs w:val="23"/>
        </w:rPr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 w:val="23"/>
          <w:szCs w:val="23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11"/>
        <w:widowControl w:val="false"/>
        <w:spacing w:lineRule="auto" w:line="240"/>
        <w:ind w:left="34" w:right="113" w:hanging="0"/>
        <w:jc w:val="both"/>
        <w:rPr>
          <w:lang w:val="en-US"/>
        </w:rPr>
      </w:pPr>
      <w:r>
        <w:rPr>
          <w:color w:val="000000"/>
          <w:sz w:val="23"/>
          <w:szCs w:val="23"/>
          <w:lang w:val="en-US"/>
        </w:rPr>
        <w:tab/>
      </w:r>
      <w:r>
        <w:rPr>
          <w:color w:val="000000"/>
          <w:sz w:val="23"/>
          <w:szCs w:val="23"/>
          <w:lang w:val="uk-UA"/>
        </w:rPr>
        <w:t>Термін надання послуг — до 15 жовтня 2023 року.</w:t>
      </w:r>
    </w:p>
    <w:p>
      <w:pPr>
        <w:pStyle w:val="Normal"/>
        <w:ind w:left="5664" w:right="0" w:firstLine="708"/>
        <w:rPr>
          <w:rStyle w:val="32"/>
          <w:rFonts w:eastAsia="Times New Roman CYR" w:cs="Times New Roman"/>
          <w:b w:val="false"/>
          <w:b w:val="false"/>
          <w:bCs w:val="false"/>
          <w:color w:val="000000"/>
          <w:sz w:val="22"/>
          <w:szCs w:val="22"/>
          <w:lang w:val="uk-UA" w:eastAsia="zh-CN" w:bidi="ar-SA"/>
        </w:rPr>
      </w:pPr>
      <w:r>
        <w:rPr>
          <w:rFonts w:eastAsia="Times New Roman CYR" w:cs="Times New Roman"/>
          <w:b w:val="false"/>
          <w:bCs w:val="false"/>
          <w:color w:val="000000"/>
          <w:sz w:val="22"/>
          <w:szCs w:val="22"/>
          <w:lang w:val="uk-UA" w:eastAsia="zh-CN" w:bidi="ar-SA"/>
        </w:rPr>
      </w:r>
    </w:p>
    <w:p>
      <w:pPr>
        <w:pStyle w:val="Normal"/>
        <w:rPr>
          <w:rStyle w:val="32"/>
          <w:rFonts w:eastAsia="Times New Roman" w:cs="Times New Roman"/>
          <w:b w:val="false"/>
          <w:b w:val="false"/>
          <w:bCs w:val="false"/>
          <w:color w:val="000000"/>
          <w:sz w:val="26"/>
          <w:szCs w:val="2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uk-UA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2</Pages>
  <Words>767</Words>
  <Characters>5100</Characters>
  <CharactersWithSpaces>6174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2023-07-13T15:19:26Z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